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 xml:space="preserve">procedura negoziata ex art. 36 coMMA 2, letT. b), DEL D.lgs. 50/2016 per </w:t>
      </w:r>
      <w:r w:rsidR="00586DC3">
        <w:rPr>
          <w:rStyle w:val="BLOCKBOLD"/>
          <w:rFonts w:ascii="Calibri" w:hAnsi="Calibri"/>
          <w:szCs w:val="20"/>
        </w:rPr>
        <w:t>la</w:t>
      </w:r>
      <w:r w:rsidR="00586DC3" w:rsidRPr="00586DC3">
        <w:t xml:space="preserve"> </w:t>
      </w:r>
      <w:r w:rsidR="00586DC3" w:rsidRPr="00586DC3">
        <w:rPr>
          <w:rStyle w:val="BLOCKBOLD"/>
          <w:rFonts w:ascii="Calibri" w:hAnsi="Calibri"/>
          <w:szCs w:val="20"/>
        </w:rPr>
        <w:t>Fornitura di Smartcard conformi alla carta nazionale dei servizi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  <w:r w:rsidR="00586DC3"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586DC3" w:rsidRDefault="00586DC3" w:rsidP="00C66834">
      <w:pPr>
        <w:rPr>
          <w:rStyle w:val="BLOCKBOLD"/>
          <w:rFonts w:ascii="Calibri" w:hAnsi="Calibri"/>
          <w:szCs w:val="20"/>
        </w:rPr>
      </w:pP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 xml:space="preserve">che il Consorzio, al fine di soddisfare i requisiti di partecipazione prescritti dal Bando di gara ricorre ai requisiti delle consorziate non esecutrici </w:t>
      </w:r>
      <w:bookmarkStart w:id="0" w:name="_GoBack"/>
      <w:bookmarkEnd w:id="0"/>
      <w:r w:rsidRPr="000C39E5">
        <w:rPr>
          <w:rFonts w:ascii="Calibri" w:hAnsi="Calibri" w:cs="Calibri"/>
        </w:rPr>
        <w:t>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="00586DC3">
        <w:rPr>
          <w:rFonts w:ascii="Calibri" w:hAnsi="Calibri"/>
          <w:i/>
          <w:color w:val="0000FF"/>
          <w:szCs w:val="20"/>
        </w:rPr>
        <w:t>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DC3" w:rsidRPr="00E84153" w:rsidRDefault="00586DC3" w:rsidP="00586DC3">
    <w:pPr>
      <w:pStyle w:val="Pidipagina"/>
    </w:pPr>
    <w:r w:rsidRPr="00E84153">
      <w:t xml:space="preserve">Classificazione del documento: Consip Public </w:t>
    </w:r>
  </w:p>
  <w:p w:rsidR="00586DC3" w:rsidRPr="00E84153" w:rsidRDefault="00586DC3" w:rsidP="00586DC3">
    <w:pPr>
      <w:pStyle w:val="Pidipagina"/>
      <w:rPr>
        <w:b/>
      </w:rPr>
    </w:pPr>
    <w:r w:rsidRPr="00E84153">
      <w:rPr>
        <w:noProof/>
      </w:rPr>
      <w:t xml:space="preserve">Procedura negoziata ai sensi dell’art. 36 co. 2 lett. b) </w:t>
    </w:r>
    <w:r>
      <w:rPr>
        <w:noProof/>
      </w:rPr>
      <w:t xml:space="preserve">e comma 6 del </w:t>
    </w:r>
    <w:r w:rsidRPr="00E84153">
      <w:rPr>
        <w:noProof/>
      </w:rPr>
      <w:t xml:space="preserve">D.lgs. 50/2016 per  </w:t>
    </w:r>
    <w:r>
      <w:rPr>
        <w:noProof/>
      </w:rPr>
      <w:t>la f</w:t>
    </w:r>
    <w:r w:rsidRPr="00586DC3">
      <w:rPr>
        <w:noProof/>
      </w:rPr>
      <w:t>ornitura di Smartcard conformi alla carta nazionale dei servizi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586DC3" w:rsidRPr="00E84153" w:rsidRDefault="00586DC3" w:rsidP="00586DC3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857DD3" wp14:editId="7038E3BD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6DC3" w:rsidRDefault="00586DC3" w:rsidP="00586DC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857DD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HFd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PSYcV1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586DC3" w:rsidRDefault="00586DC3" w:rsidP="00586DC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E84153" w:rsidP="008556FB">
    <w:pPr>
      <w:pStyle w:val="Pidipagina"/>
      <w:rPr>
        <w:b/>
      </w:rPr>
    </w:pPr>
    <w:r w:rsidRPr="00E84153">
      <w:rPr>
        <w:noProof/>
      </w:rPr>
      <w:t xml:space="preserve">Procedura negoziata ai sensi dell’art. 36 co. 2 lett. b) </w:t>
    </w:r>
    <w:r w:rsidR="00586DC3">
      <w:rPr>
        <w:noProof/>
      </w:rPr>
      <w:t xml:space="preserve">e comma 6 del </w:t>
    </w:r>
    <w:r w:rsidRPr="00E84153">
      <w:rPr>
        <w:noProof/>
      </w:rPr>
      <w:t xml:space="preserve">D.lgs. 50/2016 per  </w:t>
    </w:r>
    <w:r w:rsidR="00586DC3">
      <w:rPr>
        <w:noProof/>
      </w:rPr>
      <w:t>la f</w:t>
    </w:r>
    <w:r w:rsidR="00586DC3" w:rsidRPr="00586DC3">
      <w:rPr>
        <w:noProof/>
      </w:rPr>
      <w:t>ornitura di Smartcard conformi alla carta nazionale dei servizi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586DC3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586DC3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586DC3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586DC3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86DC3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0E5046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2019-06-21T13:19:00Z</dcterms:modified>
</cp:coreProperties>
</file>